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ZK1 2017 26 vom 10. Januar 2018</w:t>
      </w:r>
    </w:p>
    <w:p>
      <w:r>
        <w:t>SZ Gerichte, 2018-01-10, DE</w:t>
      </w:r>
    </w:p>
    <w:p>
      <w:r>
        <w:rPr>
          <w:b/>
        </w:rPr>
        <w:t xml:space="preserve">Quelle: </w:t>
      </w:r>
      <w:r>
        <w:t>https://mcp.opencaselaw.ch/entscheid/sz_gerichte_ZK1 2017 26</w:t>
      </w:r>
    </w:p>
    <w:p>
      <w:r>
        <w:t>FR: SZ_GERICHTE ZK1 2017 26 du 10 janvier 2018</w:t>
      </w:r>
    </w:p>
    <w:p>
      <w:r>
        <w:t>IT: SZ_GERICHTE ZK1 2017 26 del 10 gennaio 2018</w:t>
      </w:r>
    </w:p>
    <w:p>
      <w:pPr>
        <w:pStyle w:val="Heading2"/>
      </w:pPr>
      <w:r>
        <w:t>Regeste</w:t>
      </w:r>
    </w:p>
    <w:p>
      <w:r>
        <w:t>Feststellungsklage | Mietrecht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Kläger und Berufungsführer,</w:t>
      </w:r>
    </w:p>
    <w:p>
      <w:r>
        <w:rPr>
          <w:b/>
        </w:rPr>
        <w:t>E. 2</w:t>
      </w:r>
    </w:p>
    <w:p>
      <w:r>
        <w:t>B.________, Klägerin und Berufungsführerin,</w:t>
      </w:r>
    </w:p>
    <w:p>
      <w:r>
        <w:rPr>
          <w:b/>
        </w:rPr>
        <w:t>E. 3</w:t>
      </w:r>
    </w:p>
    <w:p>
      <w:r>
        <w:t>C.________, Klägerin und Berufungsführerin, gegen D.________ AG, Beklagte und Berufungsgegnerin, vertreten durch Rechtsanwältin E.________, \n \n \n \n \n \n \n \n \n \n betreffend \n Feststellungsklage \n \n \n \n (Berufung gegen die Verfügung des Einzelrichters am Bezirksgericht Einsiedeln vom 1. Juni 2017, ZEV 2017 005);- \n \n \n \n hat der Kantonsgerichtspräsident, \n \n nachdem sich ergeben und in Erwägung: \n 1. A.________, B.________ und die C.________ (nachfolgend: Kläger) reichten am 22. Mai 2017 gegen die D.________ AG (nachfolgend: Beklagte) eine Feststellungs- und negative Feststellungsklage gemäss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